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firstLine="540"/>
        <w:spacing/>
        <w:jc w:val="both"/>
        <w:outlineLvl w:val="0"/>
      </w:pPr>
      <w:r/>
    </w:p>
    <w:tbl>
      <w:tblPr>
        <w:name w:val="Таблица1"/>
        <w:tabOrder w:val="0"/>
        <w:jc w:val="left"/>
        <w:tblInd w:w="0" w:type="dxa"/>
        <w:tblW w:w="9355" w:type="dxa"/>
      </w:tblPr>
      <w:tblGrid>
        <w:gridCol w:w="4677"/>
        <w:gridCol w:w="4678"/>
      </w:tblGrid>
      <w:tr>
        <w:trPr>
          <w:trHeight w:val="0" w:hRule="auto"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 июня 2019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  <w:spacing/>
              <w:jc w:val="right"/>
            </w:pPr>
            <w:r>
              <w:t>368-ОЗ</w:t>
            </w:r>
          </w:p>
        </w:tc>
      </w:tr>
    </w:tbl>
    <w:p>
      <w:pPr>
        <w:pStyle w:val="para1"/>
        <w:spacing w:before="100" w:after="100"/>
        <w:jc w:val="both"/>
        <w:pBdr>
          <w:top w:val="single" w:sz="6" w:space="0" w:color="000000" tmln="15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ind w:firstLine="540"/>
        <w:spacing/>
        <w:jc w:val="both"/>
      </w:pPr>
      <w:r/>
    </w:p>
    <w:p>
      <w:pPr>
        <w:pStyle w:val="para2"/>
        <w:spacing/>
        <w:jc w:val="center"/>
      </w:pPr>
      <w:r>
        <w:t>ЗАКОН АМУРСКОЙ ОБЛАСТИ</w:t>
      </w:r>
    </w:p>
    <w:p>
      <w:pPr>
        <w:pStyle w:val="para2"/>
        <w:ind w:firstLine="540"/>
        <w:spacing/>
        <w:jc w:val="both"/>
      </w:pPr>
      <w:r/>
    </w:p>
    <w:p>
      <w:pPr>
        <w:pStyle w:val="para2"/>
        <w:spacing/>
        <w:jc w:val="center"/>
      </w:pPr>
      <w:r>
        <w:t>О ВНЕСЕНИИ ИЗМЕНЕНИЙ В СТАТЬЮ 2 ЗАКОНА АМУРСКОЙ ОБЛАСТИ</w:t>
      </w:r>
    </w:p>
    <w:p>
      <w:pPr>
        <w:pStyle w:val="para2"/>
        <w:spacing/>
        <w:jc w:val="center"/>
      </w:pPr>
      <w:r>
        <w:t>"О ПАТЕНТНОЙ СИСТЕМЕ НАЛОГООБЛОЖЕНИЯ НА ТЕРРИТОРИИ</w:t>
      </w:r>
    </w:p>
    <w:p>
      <w:pPr>
        <w:pStyle w:val="para2"/>
        <w:spacing/>
        <w:jc w:val="center"/>
      </w:pPr>
      <w:r>
        <w:t>АМУРСКОЙ ОБЛАСТИ"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</w:pPr>
      <w:r>
        <w:t>Принят</w:t>
      </w:r>
    </w:p>
    <w:p>
      <w:pPr>
        <w:pStyle w:val="para1"/>
        <w:spacing/>
        <w:jc w:val="right"/>
      </w:pPr>
      <w:r>
        <w:t>Законодательным Собранием</w:t>
      </w:r>
    </w:p>
    <w:p>
      <w:pPr>
        <w:pStyle w:val="para1"/>
        <w:spacing/>
        <w:jc w:val="right"/>
      </w:pPr>
      <w:r>
        <w:t>Амурской области</w:t>
      </w:r>
    </w:p>
    <w:p>
      <w:pPr>
        <w:pStyle w:val="para1"/>
        <w:spacing/>
        <w:jc w:val="right"/>
      </w:pPr>
      <w:r>
        <w:t>30 мая 2019 года</w:t>
      </w:r>
    </w:p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1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статью 2</w:t>
        </w:r>
      </w:hyperlink>
      <w:r>
        <w:t xml:space="preserve">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г. N 45-ОЗ, от 31 марта 2017 г. N 56-ОЗ) следующие изменения:</w:t>
      </w:r>
    </w:p>
    <w:p>
      <w:pPr>
        <w:pStyle w:val="para1"/>
        <w:ind w:firstLine="540"/>
        <w:spacing w:before="22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подпункты 3.1</w:t>
        </w:r>
      </w:hyperlink>
      <w:r>
        <w:t xml:space="preserve">, </w:t>
      </w:r>
      <w:hyperlink r:id="rId9" w:history="1">
        <w:r>
          <w:rPr>
            <w:color w:val="0000ff"/>
          </w:rPr>
          <w:t>3.2 пункта 3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2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"3.1.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Без наемных работников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Средняя численность наемных работников 1 - 3 чел.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385000";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6.1 пункта 6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3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"6.1.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Без наемных работников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115000";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11</w:t>
        </w:r>
      </w:hyperlink>
      <w:r>
        <w:t xml:space="preserve"> таблицы:</w:t>
      </w:r>
    </w:p>
    <w:p>
      <w:pPr>
        <w:pStyle w:val="para1"/>
        <w:ind w:firstLine="540"/>
        <w:spacing w:before="220"/>
        <w:jc w:val="both"/>
      </w:pPr>
      <w:r>
        <w:t xml:space="preserve">а) </w:t>
      </w:r>
      <w:hyperlink r:id="rId12" w:history="1">
        <w:r>
          <w:rPr>
            <w:color w:val="0000ff"/>
          </w:rPr>
          <w:t>подпункт 11.1</w:t>
        </w:r>
      </w:hyperlink>
      <w:r>
        <w:t xml:space="preserve">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4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"11.1.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Регулярные перевозки пассажиров автобусами в городском и пригородном сообщении: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11.1.1.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1 транспортного средства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800000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11.1.2.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2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1780000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11.1.3.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3 - 5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11.1.4.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6 и более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3000000";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11.3</w:t>
        </w:r>
      </w:hyperlink>
      <w:r>
        <w:t xml:space="preserve">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5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"11.3.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Деятельность по перевозке пассажиров и багажа легковым такси: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11.3.1.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1 - 3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280000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11.3.2.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4 - 7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720000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11.3.3.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8 - 10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1135000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11.3.4.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 использованием 11 и более транспортных средств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1250000";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4) </w:t>
      </w:r>
      <w:hyperlink r:id="rId14" w:history="1">
        <w:r>
          <w:rPr>
            <w:color w:val="0000ff"/>
          </w:rPr>
          <w:t>подпункт 19.1 пункта 19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6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"19.1.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Сдача в аренду (наем) жилых помещений, дач, принадлежащих индивидуальному предпринимателю на праве собственности, в зависимости от площади обособленного объекта, сдаваемого в аренду (наем), кв. м: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До 30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 до 60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60 до 90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90 до 120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120 до 150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150 до 200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19.1.7.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200 до 300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19.1.8.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300 до 400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19.1.9.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400 до 500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5000000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19.1.10.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500 до 600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6000000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19.1.11.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600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5) </w:t>
      </w:r>
      <w:hyperlink r:id="rId15" w:history="1">
        <w:r>
          <w:rPr>
            <w:color w:val="0000ff"/>
          </w:rPr>
          <w:t>подпункт 19.2 пункта 19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7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"19.2.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собственности, в зависимости от площади обособленного объекта, сдаваемого в аренду (наем), кв. м: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До 20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 до 50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 до 100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100 до 200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200 до 300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300 до 400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19.2.7.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400 до 500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19.2.8.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500 до 600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5500000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19.2.9.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600 до 700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6500000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19.2.10.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700 до 800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19.2.11.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800 до 900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8500000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19.2.12.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900 до 1000 (включительно)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9500000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19.2.13.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6) </w:t>
      </w:r>
      <w:hyperlink r:id="rId16" w:history="1">
        <w:r>
          <w:rPr>
            <w:color w:val="0000ff"/>
          </w:rPr>
          <w:t>подпункты 43.1</w:t>
        </w:r>
      </w:hyperlink>
      <w:r>
        <w:t xml:space="preserve">, </w:t>
      </w:r>
      <w:hyperlink r:id="rId17" w:history="1">
        <w:r>
          <w:rPr>
            <w:color w:val="0000ff"/>
          </w:rPr>
          <w:t>43.2 пункта 43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8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"43.1.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Без наемных работников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43.2.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Средняя численность наемных работников 1 - 3 чел.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385000";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7) </w:t>
      </w:r>
      <w:hyperlink r:id="rId18" w:history="1">
        <w:r>
          <w:rPr>
            <w:color w:val="0000ff"/>
          </w:rPr>
          <w:t>подпункт 44.1 пункта 44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9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"44.1.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Без наемных работников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115000;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8) </w:t>
      </w:r>
      <w:hyperlink r:id="rId19" w:history="1">
        <w:r>
          <w:rPr>
            <w:color w:val="0000ff"/>
          </w:rPr>
          <w:t>пункты 45</w:t>
        </w:r>
      </w:hyperlink>
      <w:r>
        <w:t xml:space="preserve"> - </w:t>
      </w:r>
      <w:hyperlink r:id="rId20" w:history="1">
        <w:r>
          <w:rPr>
            <w:color w:val="0000ff"/>
          </w:rPr>
          <w:t>47</w:t>
        </w:r>
      </w:hyperlink>
      <w:r>
        <w:t xml:space="preserve"> таблицы изложить в новой редакции:</w:t>
      </w:r>
    </w:p>
    <w:p>
      <w:pPr>
        <w:pStyle w:val="para1"/>
        <w:ind w:firstLine="540"/>
        <w:spacing/>
        <w:jc w:val="both"/>
      </w:pPr>
      <w:r/>
    </w:p>
    <w:tbl>
      <w:tblPr>
        <w:name w:val="Таблица10"/>
        <w:tabOrder w:val="0"/>
        <w:jc w:val="left"/>
        <w:tblInd w:w="0" w:type="dxa"/>
        <w:tblW w:w="9071" w:type="dxa"/>
      </w:tblPr>
      <w:tblGrid>
        <w:gridCol w:w="1134"/>
        <w:gridCol w:w="6293"/>
        <w:gridCol w:w="1644"/>
      </w:tblGrid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"45.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До 10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280000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 кв. м до 20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780000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 кв. м до 30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 кв. м до 40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2327000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40 кв. м до 50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 кв. м до 75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4265000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45.7.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75 кв. м до 100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5000000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45.8.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100 кв. м до 150 кв. м (включительно)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45.9.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150 кв. м площади торговых залов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До 10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280000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 кв. м до 20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800000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 кв. м до 30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1350000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 кв. м до 40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1600000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40 кв. м до 50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 кв. м до 60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2400000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46.1.7.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60 кв. м до 80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3200000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46.1.8.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80 кв. м до 100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46.1.9.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100 кв. м до 200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4800000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46.1.10.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200 кв. м до 300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5600000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46.1.11.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300 кв. м до 400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6400000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46.1.12.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400 кв. м до 500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7200000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46.1.13.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500 кв. м площади объектов стационарной торговой сети по всем объектам организации торговли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На один объект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145000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От 2 до 4 объектов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645000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От 5 до 7 объектов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1130000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От 8 до 10 объектов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1700000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От 11 до 15 объектов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2555000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46.2.6.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15 объектов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2725000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/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До 10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190000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10 кв. м до 20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 кв. м до 30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 кв. м до 40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620000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47.5.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40 кв. м до 50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700000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47.6.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50 кв. м до 70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47.7.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70 кв. м до 90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1500000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47.8.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90 кв. м до 110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2082000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47.9.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110 кв. м до 130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2460000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47.10.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130 кв. м до 150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3050000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47.11.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150 кв. м до 200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4496000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47.12.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200 кв. м до 250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6388000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47.13.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250 кв. м до 300 кв. м (включительно)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8280000</w:t>
            </w:r>
          </w:p>
        </w:tc>
      </w:tr>
      <w:tr>
        <w:trPr>
          <w:trHeight w:val="0" w:hRule="auto"/>
        </w:trPr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47.14.</w:t>
            </w:r>
          </w:p>
        </w:tc>
        <w:tc>
          <w:tcPr>
            <w:tcW w:w="629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Свыше 300 кв. м площади залов обслуживания по всем объектам организации общественного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5771917" protected="0"/>
          </w:tcPr>
          <w:p>
            <w:pPr>
              <w:pStyle w:val="para1"/>
            </w:pPr>
            <w:r>
              <w:t>10000000".</w:t>
            </w:r>
          </w:p>
        </w:tc>
      </w:tr>
    </w:tbl>
    <w:p>
      <w:pPr>
        <w:pStyle w:val="para1"/>
        <w:ind w:firstLine="540"/>
        <w:spacing/>
        <w:jc w:val="both"/>
      </w:pPr>
      <w:r/>
    </w:p>
    <w:p>
      <w:pPr>
        <w:pStyle w:val="para2"/>
        <w:ind w:firstLine="540"/>
        <w:spacing/>
        <w:jc w:val="both"/>
        <w:outlineLvl w:val="0"/>
      </w:pPr>
      <w:r>
        <w:t>Статья 2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>
        <w:t>Настоящий Закон вступает в силу со дня его официального опубликования.</w:t>
      </w:r>
    </w:p>
    <w:p>
      <w:pPr>
        <w:pStyle w:val="para1"/>
        <w:ind w:firstLine="540"/>
        <w:spacing w:before="220"/>
        <w:jc w:val="both"/>
      </w:pPr>
      <w:r>
        <w:t>Действие настоящего Закона распространяется на правоотношения, возникшие с 1 января 2019 года.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</w:pPr>
      <w:r>
        <w:t>Губернатор</w:t>
      </w:r>
    </w:p>
    <w:p>
      <w:pPr>
        <w:pStyle w:val="para1"/>
        <w:spacing/>
        <w:jc w:val="right"/>
      </w:pPr>
      <w:r>
        <w:t>Амурской области</w:t>
      </w:r>
    </w:p>
    <w:p>
      <w:pPr>
        <w:pStyle w:val="para1"/>
        <w:spacing/>
        <w:jc w:val="right"/>
      </w:pPr>
      <w:r>
        <w:t>В.А.ОРЛОВ</w:t>
      </w:r>
    </w:p>
    <w:p>
      <w:pPr>
        <w:pStyle w:val="para1"/>
      </w:pPr>
      <w:r>
        <w:t>г. Благовещенск</w:t>
      </w:r>
    </w:p>
    <w:p>
      <w:pPr>
        <w:pStyle w:val="para1"/>
        <w:spacing w:before="220"/>
      </w:pPr>
      <w:r>
        <w:t>10 июня 2019 года</w:t>
      </w:r>
    </w:p>
    <w:p>
      <w:pPr>
        <w:pStyle w:val="para1"/>
        <w:spacing w:before="220"/>
      </w:pPr>
      <w:r>
        <w:t>N 368-ОЗ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6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5771917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49D24CB8E806E3C2B959AC12F215DE19C4B3E4CCAACA63EAC115BA81BA90F21A8BA3A5CAFF92188451E3AFA1CE50A6D52A5D8EABA6C9377EA78857PBB4D" TargetMode="External"/><Relationship Id="rId8" Type="http://schemas.openxmlformats.org/officeDocument/2006/relationships/hyperlink" Target="consultantplus://offline/ref=49D24CB8E806E3C2B959AC12F215DE19C4B3E4CCAACA63EAC115BA81BA90F21A8BA3A5CAFF92188451E3ADADCE50A6D52A5D8EABA6C9377EA78857PBB4D" TargetMode="External"/><Relationship Id="rId9" Type="http://schemas.openxmlformats.org/officeDocument/2006/relationships/hyperlink" Target="consultantplus://offline/ref=49D24CB8E806E3C2B959AC12F215DE19C4B3E4CCAACA63EAC115BA81BA90F21A8BA3A5CAFF92188451E3ADACCE50A6D52A5D8EABA6C9377EA78857PBB4D" TargetMode="External"/><Relationship Id="rId10" Type="http://schemas.openxmlformats.org/officeDocument/2006/relationships/hyperlink" Target="consultantplus://offline/ref=49D24CB8E806E3C2B959AC12F215DE19C4B3E4CCAACA63EAC115BA81BA90F21A8BA3A5CAFF921C835AB7FEED9009F79761518CB3BAC834P6B9D" TargetMode="External"/><Relationship Id="rId11" Type="http://schemas.openxmlformats.org/officeDocument/2006/relationships/hyperlink" Target="consultantplus://offline/ref=49D24CB8E806E3C2B959AC12F215DE19C4B3E4CCAACA63EAC115BA81BA90F21A8BA3A5CAFF92188451E0ADAFCE50A6D52A5D8EABA6C9377EA78857PBB4D" TargetMode="External"/><Relationship Id="rId12" Type="http://schemas.openxmlformats.org/officeDocument/2006/relationships/hyperlink" Target="consultantplus://offline/ref=49D24CB8E806E3C2B959AC12F215DE19C4B3E4CCAACA63EAC115BA81BA90F21A8BA3A5CAFF92188451E0ADA1CE50A6D52A5D8EABA6C9377EA78857PBB4D" TargetMode="External"/><Relationship Id="rId13" Type="http://schemas.openxmlformats.org/officeDocument/2006/relationships/hyperlink" Target="consultantplus://offline/ref=49D24CB8E806E3C2B959AC12F215DE19C4B3E4CCAACA63EAC115BA81BA90F21A8BA3A5CAFF92188451E0AAA9CE50A6D52A5D8EABA6C9377EA78857PBB4D" TargetMode="External"/><Relationship Id="rId14" Type="http://schemas.openxmlformats.org/officeDocument/2006/relationships/hyperlink" Target="consultantplus://offline/ref=49D24CB8E806E3C2B959AC12F215DE19C4B3E4CCAACA63EAC115BA81BA90F21A8BA3A5CAFF92188F05B2EBFCC804F18F7E5290AFB8C9P3BCD" TargetMode="External"/><Relationship Id="rId15" Type="http://schemas.openxmlformats.org/officeDocument/2006/relationships/hyperlink" Target="consultantplus://offline/ref=49D24CB8E806E3C2B959AC12F215DE19C4B3E4CCAACA63EAC115BA81BA90F21A8BA3A5CAFF9218875AB7FEED9009F79761518CB3BAC834P6B9D" TargetMode="External"/><Relationship Id="rId16" Type="http://schemas.openxmlformats.org/officeDocument/2006/relationships/hyperlink" Target="consultantplus://offline/ref=49D24CB8E806E3C2B959AC12F215DE19C4B3E4CCAACA63EAC115BA81BA90F21A8BA3A5CAFF92188451E1A8AFCE50A6D52A5D8EABA6C9377EA78857PBB4D" TargetMode="External"/><Relationship Id="rId17" Type="http://schemas.openxmlformats.org/officeDocument/2006/relationships/hyperlink" Target="consultantplus://offline/ref=49D24CB8E806E3C2B959AC12F215DE19C4B3E4CCAACA63EAC115BA81BA90F21A8BA3A5CAFF92188451E1A8AECE50A6D52A5D8EABA6C9377EA78857PBB4D" TargetMode="External"/><Relationship Id="rId18" Type="http://schemas.openxmlformats.org/officeDocument/2006/relationships/hyperlink" Target="consultantplus://offline/ref=49D24CB8E806E3C2B959AC12F215DE19C4B3E4CCAACA63EAC115BA81BA90F21A8BA3A5CAFF92188451E1A7ABCE50A6D52A5D8EABA6C9377EA78857PBB4D" TargetMode="External"/><Relationship Id="rId19" Type="http://schemas.openxmlformats.org/officeDocument/2006/relationships/hyperlink" Target="consultantplus://offline/ref=49D24CB8E806E3C2B959AC12F215DE19C4B3E4CCAACA63EAC115BA81BA90F21A8BA3A5CAFF921B8557E8FBF88151FA91794E8FAFA6CA3561PABCD" TargetMode="External"/><Relationship Id="rId20" Type="http://schemas.openxmlformats.org/officeDocument/2006/relationships/hyperlink" Target="consultantplus://offline/ref=49D24CB8E806E3C2B959AC12F215DE19C4B3E4CCAACA63EAC115BA81BA90F21A8BA3A5CAFF921D805AB7FEED9009F79761518CB3BAC834P6B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2800-00-082</dc:creator>
  <cp:keywords/>
  <dc:description/>
  <cp:lastModifiedBy/>
  <cp:revision>2</cp:revision>
  <dcterms:created xsi:type="dcterms:W3CDTF">2019-12-06T03:01:00Z</dcterms:created>
  <dcterms:modified xsi:type="dcterms:W3CDTF">2019-12-08T02:25:17Z</dcterms:modified>
</cp:coreProperties>
</file>